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CF" w:rsidRPr="00EA01CF" w:rsidRDefault="00EA01CF" w:rsidP="00EA01CF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EA01CF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Általános tájékoztató az életbiztosításról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Biztosítással általában valamilyen jövőbeni esemény anyagi következményeinek enyhítését, csökkentését kívánjuk megoldani. Arra kötünk szerződést egy biztosítóval, hogy rendszeresen fizetett biztosítási díjaink fejében, ha a biztosítási esemény bekövetkezik, számunkra, vagy azok számára, akiket kedvezményezettként megjelölünk, nyújtson kárpótlást, fizessen ki egy meghatározott összeget, vagy járadékot. Két jellemző köre van a biztosítási helyzeteknek:</w:t>
      </w:r>
    </w:p>
    <w:p w:rsidR="00EA01CF" w:rsidRPr="00EA01CF" w:rsidRDefault="00EA01CF" w:rsidP="00EA01C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Valamilyen, rendszerint jelentős kárral járó, de általában ritkán bekövetkező esemény (pl. baleset, tulajdonunk megkárosítása), amelynek a következményeit szeretnénk mérsékelni;</w:t>
      </w:r>
    </w:p>
    <w:p w:rsidR="00EA01CF" w:rsidRPr="00EA01CF" w:rsidRDefault="00EA01CF" w:rsidP="00EA01C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Valamilyen nagy valószínűséggel bekövetkező esemény (pl. születés, házasságkötés, halál), amire szeretnénk felkészülni.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Az életbiztosítás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Az egyik leggyakoribb biztosításforma. A különböző élethelyzetekre való felkészülést segítő biztosítás. A biztosítási esemény sokféle lehet, a születéstől egészen a halálig. Az sem szükséges, hogy kárral járjon, de anyagi helyzetében rendszerint változást, terhet jelent a biztosítottnak, vagy annak, aki viselni kénytelen. A biztosítási esemény (élethelyzet) általában pénzben nem fejezhető ki, így a biztosító és a vele szerződő fél szabadon határozhatja meg a biztosítási összegét. A gondosan megválasztott életbiztosítás alkalmas arra, hogy növelje biztonságunkat, és lehetőséget adjon az esetleges veszélyhelyzetek következményeinek megoldásához.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különböző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életbiztosítási lehetőségek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eltérnek abban egymástól, hogy a biztosítási esemény bekövetkezésekor milyen szolgáltatást nyújtanak, milyen rendszerességgel kell a díjat fizetni és van-e lehetőségünk befolyásolni, hogy a biztosító mibe fektesse a befizetéseinket. Elsősorban a szerződő fél és a biztosított megállapodásától függ, hogy milyen hosszú időre, milyen kockázatra és milyen nagyságú összegre kíván fedezetet teremteni. Természetesen rendszerint ennek megfelelő az eljárási rend is (pl. kell-e előzetes orvosi vizsgálat), amivel a biztosítást megkötik. Ma már nem csak a családtagok, hanem egyre gyakrabban a munkáltatók is kötnek biztosítást.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A legjellemzőbb életbiztosítási módok: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A kockázati életbiztosítás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alapszolgáltatása a biztosított halálához kötődik. Ha a biztosított a biztosítás időtartama alatt meghal, a biztosító kifizeti a halál időpontjában érvényes biztosítási összeget. Ha a biztosítási időtartamot a biztosított túléli, a biztosítás díjfizetési kötelezettség nélkül megszűnik. E biztosítási forma célja elsősorban az, hogy a kedvezményezett túlélők számára biztosítsa, hogy a biztosított halála esetén nem kerülnek számukra elviselhetetlen anyagi helyzetbe. Különös jelentősége van e körben annak, ha a biztosítottnak jelentős adóssága (pl. bankkölcsön) van, amelynek megfizetése alól mentesülnek az örökösök. Ez a biztosítási forma vissza nem vásárolható, díjmentesítése nem lehetséges, de kapcsolódhatnak hozzá mellékszolgáltatásként balesethez, betegséghez, vagy egészségkárosodáshoz kötődő mellékszolgáltatások.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Az egyik leggyakoribb biztosítási mód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vegyes életbiztosítás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. A biztosítási esemény: a biztosított életben léte a biztosítás lejártakor, vagy halála, a biztosítási időtartam alatt. Ez a biztosítási forma kiválóan alkalmas arra, hogy előtakarékoskodjunk valamilyen a jövőben felmerülő és előreláthatólag jelentős kiadással járó eseményre (pl. a gyermekek felnövekedésével, iskoláztatásával járó kiadásokra), vagy a saját anyagi helyzetünk változásával összefüggő eseményre (pl. nyugdíjazás). Az esemény bekövetkezésekor a biztosított, vagy az általa megjelölt kedvezményezett attól függően juthat jelentősebb összeghez, hogy mennyi a biztosítónak befizetett összeg és azt miként fektette be a biztosító. Ebből következően a 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 xml:space="preserve">biztosításnak csak egy része előre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garantált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a biztosító befektetési tevékenységétől függő eredmény azonban nem számítható ki. Természetesen számolnunk kell azzal, hogy a biztosító költségeit nekünk kell megfizetnünk. (Ennek mértékére vonatkozóan egyre több biztosítási forma ad eligazítást.)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költségek levonása után maradó díj kisebb része szolgál a halál esetére szóló kifizetések alapjául és a másik része kerül az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életbiztosítási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díjtartalékba. Ezt fekteti be a biztosító, és ennek nyereséggel növelt összegét kapja meg a biztosított, ha a biztosítás lejáratakor életben van. Nagyon fontos kérdés, hogy a biztosító milyen hozamot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garantál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a befektetései után, mert ezt a hozamot akkor is ki kell fizetnie, ha befektetései nem nyereségesek. Hasonlóan fontos kérdés, hogy a többlethozam miként oszlik meg a biztosító és a biztosított között. 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törvény előírja, hogy a befektetésen elért nyereség minimum 80%-át a biztosítónak vissza kell utalnia a szerződésbe.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Ma Magyarországon ez az arány általában 85-90% között van.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vegyes életbiztosítás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takarékossági jellegű, ezért akkor sem szűnik meg, ha nem tudjuk az eredeti állapotot fenntartani, nem tudjuk a biztosítási díjakat tovább fizetni. Ekkor lehetőségünk van a visszavásárlásra, illetve a díjmentesítésre. Visszavásárláskor a biztosító az addigi befizetéseink egy részét visszafizeti (ami nagyon alacsony arányú is lehet), és ezzel a biztosítás megszűnik. Díjmentesítéssel az addigi befizetéseknek megfelelően leszállításra kerül a biztosítási összeg, de a biztosítás fennmarad. A biztosítók az alapszolgáltatáson kívül ehhez a biztosításhoz mellékszolgáltatásokat is kínálnak, amelyek balesethez, az egészség súlyos és tartós megromlásához kötődnek.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vegyes biztosításhoz hasonlóan működik a többi megtakarítással működő életbiztosítás is (elérési és kötött időpontú, </w:t>
      </w:r>
      <w:proofErr w:type="spell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term</w:t>
      </w:r>
      <w:proofErr w:type="spell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fix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), az eltérés csupán a szolgáltatások időzítésében van.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 xml:space="preserve">A befektetési életbiztosítás (unit </w:t>
      </w:r>
      <w:proofErr w:type="gramStart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linked</w:t>
      </w:r>
      <w:proofErr w:type="gramEnd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)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nagyon hasonlít a vegyes életbiztosításhoz. Különbözik azonban abban, hogy a befektetési döntéseket nem egyedül a biztosító hozza, hanem maga a szerződést kötő választja meg, hogy milyen kockázati besorolású befektetésekbe akarja a díjat fektetni. Ebből mind a kockázat mértékére, mind a kockázatnak a biztosító és biztosított közötti megosztására nézve jelentős eltérések következnek. Általában minél biztonságosabb egy befektetés, annál alacsonyabb a várható hozam, és viszont biztos, de általában nem magas megtérülést biztosítanak az állampapírok és bizonytalan, de jelentős hozammal járhatnak a részvények. A biztosítottnak a befektetési életbiztosítás esetében nincs meg az a lehetősége, hogy a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konkrét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befektetési eszközt maga válassza meg. Ezt a biztosító megfelelő szakemberei végzik, de tőle függ a kockázat mértéke, hogy miként osztja meg a befizetett díjait a különböző kockázatú befektetések között.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Döntésének megkönnyítéséhez a biztosítók a legszélesebb lehetőségeket kínálják. Számolni kell azzal, hogy a biztosító rendszerint semmilyen hozamot nem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garantál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és szélsőséges esetben elveszíthetjük a befizetett díjainkat is. Az, hogy korábban milyen hozamot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produkáltak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a számunkra felajánlott lehetőségek, nem biztosíték a jövőre vonatkozóan!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befektetési életbiztosítás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vegyes életbiztosításhoz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hasonlóan alkalmas lehet előtakarékosságra és általában ugyanazok a jogok érvényesíthetők, mellékjogok fűzhetők hozzá, mint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vegyes életbiztosításokhoz.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 xml:space="preserve">Az unit linked biztosításokra jellemző TKM (teljes </w:t>
      </w:r>
      <w:proofErr w:type="gramStart"/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költség mutató</w:t>
      </w:r>
      <w:proofErr w:type="gramEnd"/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).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TKM bevezetésével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a biztosítási szakma célja alapvetően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unit-linked termékek átláthatóságának és összehasonlíthatóságának növelése. Az egységes mutató révén a különböző biztosítók által kínált termékek költségszintje – egy meghatározott paraméterekkel bíró példán keresztül – könnyebben összehasonlíthatóvá válik. Ez hozzásegíti az ügyfeleket ahhoz, hogy még inkább megalapozott,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informált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döntést hozzanak a biztosítási termék 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>megvásárlásakor.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TKM mutató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tehát egy, az ügyfelek érdekeit szolgáló egyszerű mutató, amely egyetlen szám segítségével fejezi ki az adott biztosítás költségeit. Pl.: a TKM 3,4% azt jelenti, hogy a tartam alatt 3,4%-</w:t>
      </w:r>
      <w:proofErr w:type="spell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os</w:t>
      </w:r>
      <w:proofErr w:type="spell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éves hozam mellett kapja vissza ügyfelünk a befizetett díjait.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 xml:space="preserve">Az unit </w:t>
      </w:r>
      <w:proofErr w:type="gramStart"/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linked</w:t>
      </w:r>
      <w:proofErr w:type="gramEnd"/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 xml:space="preserve"> biztosítások befektetési értéke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 xml:space="preserve">befektetési (unit </w:t>
      </w:r>
      <w:proofErr w:type="gramStart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linked</w:t>
      </w:r>
      <w:proofErr w:type="gramEnd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) biztosítások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esetében a befizetett díjból a biztosító a szerződő által kiválasztott eszközalapból befektetési egységeket vásárol. A különböző eszközalapok árfolyamát a biztosítók honlapján lehet nyomon követni, ahol ez minden tőzsdei napon frissül, vagyis mindig az éppen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aktuális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értéket mutatják. Adott biztosítás befektetési értéke könnyen kiszámolható, ugyanis a kötvényben szereplő eszközalapok darabszámát kell összeszorozni az adott eszközalap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aktuális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árfolyamával. Az eszközalapok árfolyamai a pénzpiac mozgására jellemzően folyamatosan változhatnak akár pozitív, akár negatív irányba. Ezt a mozgást követi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 xml:space="preserve">unit </w:t>
      </w:r>
      <w:proofErr w:type="gramStart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linked</w:t>
      </w:r>
      <w:proofErr w:type="gramEnd"/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 xml:space="preserve"> biztosítások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befektetési értéke.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Eszközalapok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befektetési érték függ a választott eszközalapoktól. Fontos, hogy minél magasabb hozamot remélhetünk egy alaptól, annak megfelelően a befektetési kockázat is magas. A legmagasabb kockázata a részvényeknek van, viszonylag alacsony kockázatúak a kötvény és pénzpiaci alapok. A biztosítók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befektetéses életbiztosításoknál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széles eszközalap választékot kínálnak mind forintban, mind euroban. Sok esetben a nagy kínálatból nehéz a választás, ezért már előre összeállított portfóliókat is biztosítanak a pénzügyi téren kevésbé járatos ügyfeleiknek. Ezek általában megfelelnek a befektetési igényeknek, ugyanis az összeállított portfóliók egy alacsony kockázatú (magas kötvény hányad), egy közepes kockázatú (kötvény és részvény) és egy magasabb kockázatú (magas részvény hányad) csomagot jelentenek. Az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árfolyam mozgásokból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származó veszteségek csökkentése érdekében mostanában megjelent a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unit linked biztosítási piacon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egy új szolgáltatás, az úgynevezett árfolyam figyelés (monitoring). Lényege, hogy nagyobb árfolyamesésnél beavatkozik az alapkezelő és átmenetileg a befektetést egy kisebb kockázatú (kötvény) alapba helyezi, hogy a korábban elért nyereséget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stabilizálja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Az eszközalapokra jellemző kockázatok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Inflációs 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Kamatkockázat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Részvénypiaci 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proofErr w:type="spell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Likvidítási</w:t>
      </w:r>
      <w:proofErr w:type="spell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Politikai 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Gazdasági 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Devizakockázat</w:t>
      </w:r>
    </w:p>
    <w:p w:rsidR="00EA01CF" w:rsidRPr="00EA01CF" w:rsidRDefault="00EA01CF" w:rsidP="00EA01C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Adóváltozások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Indexálás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lényegét illetően egyfajta értékkövetés. A biztosítás díjának és a biztosítási összegnek a hozzáigazítása az árszínvonal változásához, de anélkül, hogy a két változás hosszú távon megfelelne egymásnak. Például a kétszeres díjfizetés nem jár kétszeres biztosítással, mert a korábbi években alacsonyabb díjakat fizettünk és ezt a biztosítási összegnél figyelembe veszik.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Indexálással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állapítják meg évenként egyszer a díjfizetésünk változását és a biztosítás összegét.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lastRenderedPageBreak/>
        <w:t>Részesedés a nyereségből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Már utaltunk rá, hogy a befektetésekből keletkező nyereség egy (jelentősebb) részét, minimum 80 %-át, a biztosítónak vissza kell, hogy juttassa a biztosítottnak. Ezt megteheti úgy, hogy elkülönített számlán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kezeli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és mindaddig befekteti, amíg nem kell elszámolnia. Megteheti, hogy emeli a szolgáltatás összegét és megteheti, hogy a díj és a szolgáltatás arányainak javítására használja. Azt, hogy a visszajuttatás milyen módon történik, a biztosítási szerződés tartalmazza. Nagyon fontos tudni, miként alakul az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életbiztosítási díjtartalék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 A nyereségrészesedés és a díjtartalék aránya attól függ, milyen eredményességgel forgatta meg a biztosító a rendelkezésére álló összegeket és milyen szabályai vannak a többlethozam visszajuttatásának. Ha nagy a tartalék, nagy lesz a nyereségrészesedés, és viszont! Figyeljünk arra, hogyan aránylik a jóváírt nyereség az előző évi díjtartalékhoz. Ha ez eléri a piaci kamatok szintjét, vagy annál több, megnyugodhatunk. Fordítva már nem kedvező a helyzetünk, de további lépéseinket fontoljuk meg aszerint, hogy miért kötöttük a biztosítást és milyen lehetőségeink vannak az elállásra.</w:t>
      </w:r>
    </w:p>
    <w:p w:rsidR="00EA01CF" w:rsidRPr="00EA01CF" w:rsidRDefault="00EA01CF" w:rsidP="00EA01C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EA01CF">
        <w:rPr>
          <w:rFonts w:ascii="Arial" w:eastAsia="Times New Roman" w:hAnsi="Arial" w:cs="Arial"/>
          <w:color w:val="A39588"/>
          <w:sz w:val="30"/>
          <w:szCs w:val="30"/>
          <w:lang w:eastAsia="hu-HU"/>
        </w:rPr>
        <w:t>A szerződés megszűnése, mentesülés, elállás</w:t>
      </w:r>
    </w:p>
    <w:p w:rsidR="00EA01CF" w:rsidRPr="00EA01CF" w:rsidRDefault="00EA01CF" w:rsidP="00EA01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szerződés a biztosítási esemény bekövetkezésével és a biztosító kötelezettségvállalásának teljesítésével szűnik meg. </w:t>
      </w:r>
      <w:proofErr w:type="gramStart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biztosító a biztosítási összeg megfizetésétől csak akkor mentesül, ha a bekövetkezett eseményre a szerződésben kizárta a szolgáltatását, vagy a szerződő fél, illetve a kedvezményezett jogellenesen közreműködött az esemény bekövetkezésében, esetleg a szerződést jelentősen befolyásoló lényeges körülményeket - bár azokról tudott - a szerződés megkötésekor elhallgatott.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Életbiztosításoknál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akkor is mentesül a biztosító a fizetési kötelezettsége alól, ha a biztosított a szerződés megkötésétől számított két éven belül öngyilkosságot követ el.</w:t>
      </w:r>
      <w:proofErr w:type="gramEnd"/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A szerződésben rögzített időn belül visszafizetés nélkül, azon túl megtérülés mellett a szerződő fél is elállhat a szerződéstől, de fontos tudni, hogy mindenképpen veszítünk. Ha a körülményeink és a szerződés lehetővé teszik, inkább díjmentesítést kérjünk. Ha a biztosítás bármely okból a biztosítási összeg kifizetése nélkül szűnik meg, a biztosító köteles kifizetni a biztosításnak azt a részét, amelyet a biztosítási szabályzatban díjtartalékként, illetve visszavásárlási összegként megjelölt. Ez alól csak azok a biztosítások képeznek kivételt, ahol azt a szerződésben kifejezetten kikötötték. </w:t>
      </w:r>
      <w:r w:rsidRPr="00EA01CF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Életbiztosítással</w:t>
      </w:r>
      <w:r w:rsidRPr="00EA01CF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hosszú időre kötelezzük el magunkat, ezért fokozott körültekintéssel és megfontoltan járjunk el, hiszen nagyon nagy jelentősége van annak, hogy milyen szerződést írunk alá!</w:t>
      </w:r>
    </w:p>
    <w:p w:rsidR="00CD7D66" w:rsidRDefault="00CD7D66">
      <w:bookmarkStart w:id="0" w:name="_GoBack"/>
      <w:bookmarkEnd w:id="0"/>
    </w:p>
    <w:sectPr w:rsidR="00CD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BAB"/>
    <w:multiLevelType w:val="multilevel"/>
    <w:tmpl w:val="247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2162E"/>
    <w:multiLevelType w:val="multilevel"/>
    <w:tmpl w:val="25B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4"/>
    <w:rsid w:val="00CD7D66"/>
    <w:rsid w:val="00DB3104"/>
    <w:rsid w:val="00E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6AF8-829A-4494-A43E-9CD4EAD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0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A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01C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01C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calcim">
    <w:name w:val="mc_alcim"/>
    <w:basedOn w:val="Bekezdsalapbettpusa"/>
    <w:rsid w:val="00EA01CF"/>
  </w:style>
  <w:style w:type="paragraph" w:styleId="NormlWeb">
    <w:name w:val="Normal (Web)"/>
    <w:basedOn w:val="Norml"/>
    <w:uiPriority w:val="99"/>
    <w:semiHidden/>
    <w:unhideWhenUsed/>
    <w:rsid w:val="00E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2018-07-31T14:14:00Z</dcterms:created>
  <dcterms:modified xsi:type="dcterms:W3CDTF">2018-07-31T14:14:00Z</dcterms:modified>
</cp:coreProperties>
</file>